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8" w:rsidRPr="002F6FDE" w:rsidRDefault="00563FF8" w:rsidP="00563FF8">
      <w:pPr>
        <w:jc w:val="center"/>
        <w:rPr>
          <w:rFonts w:ascii="標楷體" w:eastAsia="標楷體" w:hAnsi="標楷體"/>
          <w:b/>
          <w:sz w:val="32"/>
        </w:rPr>
      </w:pPr>
      <w:r w:rsidRPr="002F6FDE">
        <w:rPr>
          <w:rFonts w:ascii="標楷體" w:eastAsia="標楷體" w:hAnsi="標楷體" w:hint="eastAsia"/>
          <w:b/>
          <w:sz w:val="32"/>
        </w:rPr>
        <w:t>課程摘要表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4394"/>
        <w:gridCol w:w="1275"/>
        <w:gridCol w:w="1611"/>
      </w:tblGrid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</w:t>
            </w:r>
            <w:r w:rsidRPr="002F6FDE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578" w:type="pct"/>
            <w:vAlign w:val="center"/>
          </w:tcPr>
          <w:p w:rsidR="00D53D4C" w:rsidRPr="00C645A2" w:rsidRDefault="00BA598F" w:rsidP="00C645A2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資料庫建置與管理(</w:t>
            </w:r>
            <w:proofErr w:type="gramStart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一</w:t>
            </w:r>
            <w:proofErr w:type="gramEnd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): </w:t>
            </w:r>
            <w:r w:rsidR="00C645A2">
              <w:rPr>
                <w:rFonts w:ascii="標楷體" w:eastAsia="標楷體" w:hAnsi="標楷體"/>
                <w:color w:val="222222"/>
                <w:shd w:val="clear" w:color="auto" w:fill="FFFFFF"/>
              </w:rPr>
              <w:br/>
            </w: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現有</w:t>
            </w:r>
            <w:proofErr w:type="gramStart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車載資通訊</w:t>
            </w:r>
            <w:proofErr w:type="gramEnd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發展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授課教師</w:t>
            </w:r>
          </w:p>
        </w:tc>
        <w:tc>
          <w:tcPr>
            <w:tcW w:w="945" w:type="pct"/>
            <w:vAlign w:val="center"/>
          </w:tcPr>
          <w:p w:rsidR="00D53D4C" w:rsidRPr="002F6FDE" w:rsidRDefault="00BA598F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 w:val="28"/>
                <w:szCs w:val="24"/>
              </w:rPr>
              <w:t>陳昱光</w:t>
            </w:r>
          </w:p>
        </w:tc>
      </w:tr>
      <w:tr w:rsidR="00D53D4C" w:rsidRPr="002F6FDE" w:rsidTr="007F7CF7">
        <w:trPr>
          <w:trHeight w:val="7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授課日期</w:t>
            </w:r>
          </w:p>
        </w:tc>
        <w:tc>
          <w:tcPr>
            <w:tcW w:w="2578" w:type="pct"/>
            <w:vAlign w:val="center"/>
          </w:tcPr>
          <w:p w:rsidR="00D53D4C" w:rsidRPr="002F6FDE" w:rsidRDefault="00BA598F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Cs w:val="24"/>
              </w:rPr>
              <w:t>10</w:t>
            </w:r>
            <w:r w:rsidR="00844817">
              <w:rPr>
                <w:rFonts w:ascii="標楷體" w:eastAsia="標楷體" w:hAnsi="標楷體" w:hint="eastAsia"/>
                <w:szCs w:val="24"/>
              </w:rPr>
              <w:t>6</w:t>
            </w:r>
            <w:r w:rsidRPr="00BA598F">
              <w:rPr>
                <w:rFonts w:ascii="標楷體" w:eastAsia="標楷體" w:hAnsi="標楷體" w:hint="eastAsia"/>
                <w:szCs w:val="24"/>
              </w:rPr>
              <w:t>年 2月21日(星期二)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授課時段</w:t>
            </w:r>
          </w:p>
        </w:tc>
        <w:tc>
          <w:tcPr>
            <w:tcW w:w="945" w:type="pct"/>
            <w:vAlign w:val="center"/>
          </w:tcPr>
          <w:p w:rsidR="00D53D4C" w:rsidRPr="00BA598F" w:rsidRDefault="00BA598F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/>
                <w:szCs w:val="24"/>
              </w:rPr>
              <w:t>09:00~12:00</w:t>
            </w:r>
          </w:p>
        </w:tc>
      </w:tr>
      <w:tr w:rsidR="005470CE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5470CE" w:rsidRPr="002F6FDE" w:rsidRDefault="005470CE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4271" w:type="pct"/>
            <w:gridSpan w:val="3"/>
            <w:vAlign w:val="center"/>
          </w:tcPr>
          <w:p w:rsidR="005470CE" w:rsidRPr="00DB5FE6" w:rsidRDefault="00851E96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DB5FE6">
              <w:rPr>
                <w:rFonts w:ascii="標楷體" w:eastAsia="標楷體" w:hAnsi="標楷體" w:hint="eastAsia"/>
                <w:szCs w:val="24"/>
              </w:rPr>
              <w:t>國立</w:t>
            </w:r>
            <w:r w:rsidRPr="00BA598F">
              <w:rPr>
                <w:rFonts w:ascii="標楷體" w:eastAsia="標楷體" w:hAnsi="標楷體" w:hint="eastAsia"/>
                <w:szCs w:val="24"/>
              </w:rPr>
              <w:t>東華大學</w:t>
            </w:r>
            <w:r>
              <w:rPr>
                <w:rFonts w:ascii="標楷體" w:eastAsia="標楷體" w:hAnsi="標楷體" w:hint="eastAsia"/>
                <w:szCs w:val="24"/>
              </w:rPr>
              <w:t>壽豐校區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講師經歷</w:t>
            </w:r>
          </w:p>
        </w:tc>
        <w:tc>
          <w:tcPr>
            <w:tcW w:w="4271" w:type="pct"/>
            <w:gridSpan w:val="3"/>
            <w:vAlign w:val="center"/>
          </w:tcPr>
          <w:p w:rsidR="00BA598F" w:rsidRPr="00BA598F" w:rsidRDefault="00BA598F" w:rsidP="00BA598F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proofErr w:type="gramStart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斗</w:t>
            </w:r>
            <w:proofErr w:type="gramEnd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立科技有限公司產品經理</w:t>
            </w:r>
          </w:p>
          <w:p w:rsidR="00BA598F" w:rsidRPr="00BA598F" w:rsidRDefault="00BA598F" w:rsidP="00BA598F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頂石雲端股份有限公司研發顧問</w:t>
            </w:r>
          </w:p>
          <w:p w:rsidR="00D53D4C" w:rsidRPr="002F6FDE" w:rsidRDefault="00BA598F" w:rsidP="00BA598F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豪泰客運股份有限公司特助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課程簡介</w:t>
            </w:r>
          </w:p>
        </w:tc>
        <w:tc>
          <w:tcPr>
            <w:tcW w:w="4271" w:type="pct"/>
            <w:gridSpan w:val="3"/>
            <w:vAlign w:val="center"/>
          </w:tcPr>
          <w:p w:rsidR="00844674" w:rsidRDefault="00BA598F" w:rsidP="00E03883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近年來，行動通訊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技術</w:t>
            </w: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與雲端環境的進化越來越迅速，政府在公共運輸各項資訊規劃的思維往往和外在環境與應用脫節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  <w:bookmarkStart w:id="0" w:name="_GoBack"/>
            <w:r w:rsidR="00304F33"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本中心擬借由相關課程輔導</w:t>
            </w:r>
            <w:r w:rsidR="00304F3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學習</w:t>
            </w:r>
            <w:r w:rsidR="00304F33"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車載資通訊</w:t>
            </w:r>
            <w:r w:rsidR="00304F3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與雲端系統</w:t>
            </w:r>
            <w:r w:rsidR="00304F33"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的專業知識與背景</w:t>
            </w:r>
            <w:r w:rsidR="00304F3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，以提升強化相關業務承辦人在資通訊技術方面的專業能力</w:t>
            </w: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  <w:bookmarkEnd w:id="0"/>
          </w:p>
          <w:p w:rsidR="005112EA" w:rsidRPr="002F6FDE" w:rsidRDefault="00844674" w:rsidP="00263413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車載資通訊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結合雲端後，不僅有效提升行車效率與安全並以避免行車事故為主要目標，亦能運用到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公共運輸系統與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商用車隊管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理</w:t>
            </w:r>
            <w:r w:rsidR="0026341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；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遠端診斷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，在事故發生時</w:t>
            </w:r>
            <w:r w:rsidR="0026341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可快速提升道路緊急救援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、且平時更能應用於車輛</w:t>
            </w:r>
            <w:r w:rsidR="0026341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維修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保養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</w:t>
            </w:r>
            <w:r w:rsidR="001E09A7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電子收費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監控</w:t>
            </w:r>
            <w:r w:rsidR="001E09A7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</w:t>
            </w:r>
            <w:r w:rsidR="004230F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與相關巨量資料分析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4271" w:type="pct"/>
            <w:gridSpan w:val="3"/>
            <w:vAlign w:val="center"/>
          </w:tcPr>
          <w:p w:rsidR="00BA598F" w:rsidRPr="00844817" w:rsidRDefault="00BA598F" w:rsidP="00844817">
            <w:pPr>
              <w:pStyle w:val="a8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color w:val="222222"/>
                <w:sz w:val="24"/>
                <w:szCs w:val="24"/>
                <w:shd w:val="clear" w:color="auto" w:fill="FFFFFF"/>
              </w:rPr>
            </w:pPr>
            <w:r w:rsidRPr="00844817">
              <w:rPr>
                <w:rFonts w:ascii="標楷體" w:eastAsia="標楷體" w:hAnsi="標楷體" w:hint="eastAsia"/>
                <w:color w:val="222222"/>
                <w:sz w:val="24"/>
                <w:szCs w:val="24"/>
                <w:shd w:val="clear" w:color="auto" w:fill="FFFFFF"/>
              </w:rPr>
              <w:t>目前國內車載資通訊環境的發展 (TTIA現行的設計);</w:t>
            </w:r>
          </w:p>
          <w:p w:rsidR="00BA598F" w:rsidRPr="00BA598F" w:rsidRDefault="00BA598F" w:rsidP="00E03883">
            <w:pPr>
              <w:pStyle w:val="a8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color w:val="222222"/>
                <w:sz w:val="24"/>
                <w:szCs w:val="24"/>
                <w:shd w:val="clear" w:color="auto" w:fill="FFFFFF"/>
              </w:rPr>
            </w:pPr>
            <w:r w:rsidRPr="00844817">
              <w:rPr>
                <w:rFonts w:ascii="標楷體" w:eastAsia="標楷體" w:hAnsi="標楷體" w:hint="eastAsia"/>
                <w:color w:val="222222"/>
                <w:sz w:val="24"/>
                <w:szCs w:val="24"/>
                <w:shd w:val="clear" w:color="auto" w:fill="FFFFFF"/>
              </w:rPr>
              <w:t>外在行動通訊的進展與雲端環境。</w:t>
            </w:r>
          </w:p>
          <w:p w:rsidR="00D53D4C" w:rsidRPr="00BA598F" w:rsidRDefault="00BA598F" w:rsidP="00E03883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※ 適合公部門的規劃承辦人員</w:t>
            </w:r>
          </w:p>
        </w:tc>
      </w:tr>
      <w:tr w:rsidR="00D53D4C" w:rsidRPr="002F6FDE" w:rsidTr="007F7CF7">
        <w:trPr>
          <w:trHeight w:val="55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授課教材</w:t>
            </w:r>
          </w:p>
        </w:tc>
        <w:tc>
          <w:tcPr>
            <w:tcW w:w="4271" w:type="pct"/>
            <w:gridSpan w:val="3"/>
            <w:vAlign w:val="center"/>
          </w:tcPr>
          <w:p w:rsidR="006A209F" w:rsidRPr="002F6FDE" w:rsidRDefault="00D53D4C" w:rsidP="00E0388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F6FDE">
              <w:rPr>
                <w:rFonts w:ascii="標楷體" w:eastAsia="標楷體" w:hAnsi="標楷體" w:hint="eastAsia"/>
                <w:sz w:val="24"/>
                <w:szCs w:val="24"/>
              </w:rPr>
              <w:t>簡報</w:t>
            </w:r>
          </w:p>
          <w:p w:rsidR="00BB6C93" w:rsidRPr="002F6FDE" w:rsidRDefault="00BA598F" w:rsidP="00E0388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A598F">
              <w:rPr>
                <w:rFonts w:ascii="標楷體" w:eastAsia="標楷體" w:hAnsi="標楷體" w:hint="eastAsia"/>
                <w:sz w:val="24"/>
                <w:szCs w:val="24"/>
              </w:rPr>
              <w:t>車載平台與雲端系統環境的展示</w:t>
            </w:r>
          </w:p>
        </w:tc>
      </w:tr>
    </w:tbl>
    <w:p w:rsidR="003334A3" w:rsidRPr="002F6FDE" w:rsidRDefault="003334A3" w:rsidP="00563FF8">
      <w:pPr>
        <w:spacing w:line="360" w:lineRule="auto"/>
        <w:rPr>
          <w:rFonts w:ascii="標楷體" w:eastAsia="標楷體" w:hAnsi="標楷體" w:cs="Times New Roman"/>
          <w:sz w:val="32"/>
        </w:rPr>
      </w:pPr>
    </w:p>
    <w:sectPr w:rsidR="003334A3" w:rsidRPr="002F6FDE" w:rsidSect="00FD73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73" w:rsidRDefault="00EB3A73" w:rsidP="00D53D4C">
      <w:r>
        <w:separator/>
      </w:r>
    </w:p>
  </w:endnote>
  <w:endnote w:type="continuationSeparator" w:id="0">
    <w:p w:rsidR="00EB3A73" w:rsidRDefault="00EB3A73" w:rsidP="00D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73" w:rsidRDefault="00EB3A73" w:rsidP="00D53D4C">
      <w:r>
        <w:separator/>
      </w:r>
    </w:p>
  </w:footnote>
  <w:footnote w:type="continuationSeparator" w:id="0">
    <w:p w:rsidR="00EB3A73" w:rsidRDefault="00EB3A73" w:rsidP="00D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CF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47480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EA14AD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A66D6"/>
    <w:multiLevelType w:val="hybridMultilevel"/>
    <w:tmpl w:val="6A189440"/>
    <w:lvl w:ilvl="0" w:tplc="4DD68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50D44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F12943"/>
    <w:multiLevelType w:val="hybridMultilevel"/>
    <w:tmpl w:val="E104082C"/>
    <w:lvl w:ilvl="0" w:tplc="C1ECF7A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323DF5"/>
    <w:multiLevelType w:val="hybridMultilevel"/>
    <w:tmpl w:val="DEECAFE0"/>
    <w:lvl w:ilvl="0" w:tplc="BBDC6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E6EBA"/>
    <w:multiLevelType w:val="hybridMultilevel"/>
    <w:tmpl w:val="7D7EB3FC"/>
    <w:lvl w:ilvl="0" w:tplc="F30E2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390A33"/>
    <w:multiLevelType w:val="hybridMultilevel"/>
    <w:tmpl w:val="F7DA155E"/>
    <w:lvl w:ilvl="0" w:tplc="4704E90C">
      <w:start w:val="1"/>
      <w:numFmt w:val="upperLetter"/>
      <w:lvlText w:val="(%1)"/>
      <w:lvlJc w:val="left"/>
      <w:pPr>
        <w:tabs>
          <w:tab w:val="num" w:pos="402"/>
        </w:tabs>
        <w:ind w:left="4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5"/>
    <w:rsid w:val="0006147E"/>
    <w:rsid w:val="000C620E"/>
    <w:rsid w:val="000F464E"/>
    <w:rsid w:val="001106CE"/>
    <w:rsid w:val="00134410"/>
    <w:rsid w:val="00147A94"/>
    <w:rsid w:val="00175838"/>
    <w:rsid w:val="001A6F9A"/>
    <w:rsid w:val="001B12D8"/>
    <w:rsid w:val="001E09A7"/>
    <w:rsid w:val="001E0BF4"/>
    <w:rsid w:val="002021F7"/>
    <w:rsid w:val="00263413"/>
    <w:rsid w:val="00284BE9"/>
    <w:rsid w:val="002A79D4"/>
    <w:rsid w:val="002E7D9A"/>
    <w:rsid w:val="002F6FDE"/>
    <w:rsid w:val="00304F33"/>
    <w:rsid w:val="003334A3"/>
    <w:rsid w:val="003334C2"/>
    <w:rsid w:val="003572FB"/>
    <w:rsid w:val="00383B96"/>
    <w:rsid w:val="003A3CB8"/>
    <w:rsid w:val="004230F4"/>
    <w:rsid w:val="00430B85"/>
    <w:rsid w:val="004523DD"/>
    <w:rsid w:val="005112EA"/>
    <w:rsid w:val="005258E7"/>
    <w:rsid w:val="005470CE"/>
    <w:rsid w:val="005530FD"/>
    <w:rsid w:val="00556ECD"/>
    <w:rsid w:val="00563FF8"/>
    <w:rsid w:val="005B0EC6"/>
    <w:rsid w:val="0066753C"/>
    <w:rsid w:val="006A209F"/>
    <w:rsid w:val="006C4CD8"/>
    <w:rsid w:val="00713232"/>
    <w:rsid w:val="00724A8E"/>
    <w:rsid w:val="00742EB6"/>
    <w:rsid w:val="00774DCA"/>
    <w:rsid w:val="007A0B16"/>
    <w:rsid w:val="007F6338"/>
    <w:rsid w:val="007F7CF7"/>
    <w:rsid w:val="00816633"/>
    <w:rsid w:val="00824BC0"/>
    <w:rsid w:val="00844674"/>
    <w:rsid w:val="00844817"/>
    <w:rsid w:val="00845B9B"/>
    <w:rsid w:val="00851E96"/>
    <w:rsid w:val="00862265"/>
    <w:rsid w:val="008A37CF"/>
    <w:rsid w:val="008A5EDD"/>
    <w:rsid w:val="008F1B0B"/>
    <w:rsid w:val="008F3364"/>
    <w:rsid w:val="008F6BE1"/>
    <w:rsid w:val="0096011D"/>
    <w:rsid w:val="00984D51"/>
    <w:rsid w:val="0098793B"/>
    <w:rsid w:val="009F59EC"/>
    <w:rsid w:val="00A03245"/>
    <w:rsid w:val="00A644BF"/>
    <w:rsid w:val="00B27348"/>
    <w:rsid w:val="00BA598F"/>
    <w:rsid w:val="00BB6C93"/>
    <w:rsid w:val="00C35120"/>
    <w:rsid w:val="00C51E60"/>
    <w:rsid w:val="00C645A2"/>
    <w:rsid w:val="00C94608"/>
    <w:rsid w:val="00CD1A6A"/>
    <w:rsid w:val="00D53D4C"/>
    <w:rsid w:val="00E03883"/>
    <w:rsid w:val="00E112D1"/>
    <w:rsid w:val="00E23653"/>
    <w:rsid w:val="00E72E9D"/>
    <w:rsid w:val="00E74830"/>
    <w:rsid w:val="00EB3A73"/>
    <w:rsid w:val="00F43D53"/>
    <w:rsid w:val="00F56CFC"/>
    <w:rsid w:val="00F83925"/>
    <w:rsid w:val="00FD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169D-B343-46F5-8D2E-A2208CAA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yjli0513</dc:creator>
  <cp:lastModifiedBy>Agnes Lu</cp:lastModifiedBy>
  <cp:revision>7</cp:revision>
  <dcterms:created xsi:type="dcterms:W3CDTF">2017-01-25T06:33:00Z</dcterms:created>
  <dcterms:modified xsi:type="dcterms:W3CDTF">2017-02-03T09:39:00Z</dcterms:modified>
</cp:coreProperties>
</file>